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6641F9" w14:textId="4F8793CB" w:rsidR="003D37B6" w:rsidRDefault="73AA2B94" w:rsidP="00175410">
      <w:pPr>
        <w:jc w:val="both"/>
        <w:rPr>
          <w:rFonts w:ascii="Calibri" w:eastAsia="Calibri" w:hAnsi="Calibri" w:cs="Calibri"/>
          <w:b/>
          <w:bCs/>
          <w:color w:val="555555"/>
          <w:sz w:val="24"/>
          <w:szCs w:val="24"/>
        </w:rPr>
      </w:pPr>
      <w:r w:rsidRPr="73AA2B94">
        <w:rPr>
          <w:rFonts w:ascii="Calibri" w:eastAsia="Calibri" w:hAnsi="Calibri" w:cs="Calibri"/>
          <w:b/>
          <w:bCs/>
          <w:color w:val="555555"/>
          <w:sz w:val="24"/>
          <w:szCs w:val="24"/>
        </w:rPr>
        <w:t xml:space="preserve">Case </w:t>
      </w:r>
      <w:proofErr w:type="spellStart"/>
      <w:proofErr w:type="gramStart"/>
      <w:r w:rsidRPr="73AA2B94">
        <w:rPr>
          <w:rFonts w:ascii="Calibri" w:eastAsia="Calibri" w:hAnsi="Calibri" w:cs="Calibri"/>
          <w:b/>
          <w:bCs/>
          <w:color w:val="555555"/>
          <w:sz w:val="24"/>
          <w:szCs w:val="24"/>
        </w:rPr>
        <w:t>Study</w:t>
      </w:r>
      <w:proofErr w:type="spellEnd"/>
      <w:r w:rsidRPr="73AA2B94">
        <w:rPr>
          <w:rFonts w:ascii="Calibri" w:eastAsia="Calibri" w:hAnsi="Calibri" w:cs="Calibri"/>
          <w:b/>
          <w:bCs/>
          <w:color w:val="555555"/>
          <w:sz w:val="24"/>
          <w:szCs w:val="24"/>
        </w:rPr>
        <w:t>:</w:t>
      </w:r>
      <w:proofErr w:type="gramEnd"/>
    </w:p>
    <w:p w14:paraId="0F803F10" w14:textId="2549D02F" w:rsidR="003D37B6" w:rsidRDefault="73AA2B94" w:rsidP="00175410">
      <w:pPr>
        <w:jc w:val="both"/>
        <w:rPr>
          <w:rFonts w:ascii="Calibri" w:eastAsia="Calibri" w:hAnsi="Calibri" w:cs="Calibri"/>
          <w:color w:val="555555"/>
          <w:sz w:val="24"/>
          <w:szCs w:val="24"/>
        </w:rPr>
      </w:pPr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The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Comic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Book Publication Group (CBPG)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specializes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in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creating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,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illustrating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,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writing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, and printing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various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publications. It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is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a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small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but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publicly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traded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corporation. CBPG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currently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has a capital structure of $12 million in bonds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that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pay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a 5% coupon, $5 million in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preferred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stock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with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a par value of $35 per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share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and an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annual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dividend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of $1.75 per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share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. The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company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has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common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stock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with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a book value of $6 </w:t>
      </w:r>
      <w:proofErr w:type="gramStart"/>
      <w:r w:rsidRPr="73AA2B94">
        <w:rPr>
          <w:rFonts w:ascii="Calibri" w:eastAsia="Calibri" w:hAnsi="Calibri" w:cs="Calibri"/>
          <w:color w:val="555555"/>
          <w:sz w:val="24"/>
          <w:szCs w:val="24"/>
        </w:rPr>
        <w:t>million</w:t>
      </w:r>
      <w:proofErr w:type="gram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. The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cost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of capital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associated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with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the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common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stock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is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10%. The marginal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tax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rate for the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firm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is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33%.</w:t>
      </w:r>
    </w:p>
    <w:p w14:paraId="54424140" w14:textId="2DD33BA7" w:rsidR="003D37B6" w:rsidRDefault="73AA2B94" w:rsidP="00175410">
      <w:pPr>
        <w:jc w:val="both"/>
        <w:rPr>
          <w:rFonts w:ascii="Calibri" w:eastAsia="Calibri" w:hAnsi="Calibri" w:cs="Calibri"/>
          <w:color w:val="555555"/>
          <w:sz w:val="24"/>
          <w:szCs w:val="24"/>
        </w:rPr>
      </w:pPr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The management of the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company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wishes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to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acquire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additional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capital for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operations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purposes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. The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chief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executive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officer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(CEO) and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chief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financial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officer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(CFO)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agree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that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another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public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debt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offering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(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corporate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bonds) in the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amount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of $10 </w:t>
      </w:r>
      <w:proofErr w:type="gramStart"/>
      <w:r w:rsidRPr="73AA2B94">
        <w:rPr>
          <w:rFonts w:ascii="Calibri" w:eastAsia="Calibri" w:hAnsi="Calibri" w:cs="Calibri"/>
          <w:color w:val="555555"/>
          <w:sz w:val="24"/>
          <w:szCs w:val="24"/>
        </w:rPr>
        <w:t>million</w:t>
      </w:r>
      <w:proofErr w:type="gram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would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suffice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.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They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believe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that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due to favorable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interest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rates, the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company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could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issue the bonds at par </w:t>
      </w:r>
      <w:proofErr w:type="spellStart"/>
      <w:proofErr w:type="gramStart"/>
      <w:r w:rsidRPr="73AA2B94">
        <w:rPr>
          <w:rFonts w:ascii="Calibri" w:eastAsia="Calibri" w:hAnsi="Calibri" w:cs="Calibri"/>
          <w:color w:val="555555"/>
          <w:sz w:val="24"/>
          <w:szCs w:val="24"/>
        </w:rPr>
        <w:t>with</w:t>
      </w:r>
      <w:proofErr w:type="spellEnd"/>
      <w:proofErr w:type="gram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a 4% coupon. </w:t>
      </w:r>
    </w:p>
    <w:p w14:paraId="4AE64BE0" w14:textId="7A82D60B" w:rsidR="003D37B6" w:rsidRDefault="73AA2B94" w:rsidP="00175410">
      <w:pPr>
        <w:jc w:val="both"/>
        <w:rPr>
          <w:rFonts w:ascii="Calibri" w:eastAsia="Calibri" w:hAnsi="Calibri" w:cs="Calibri"/>
          <w:color w:val="555555"/>
          <w:sz w:val="24"/>
          <w:szCs w:val="24"/>
        </w:rPr>
      </w:pP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Before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the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Board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of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Directors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convenes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to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discuss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the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debt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Initial Public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Offering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(IPO), the CFO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wants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to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provide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some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data for the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board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of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directors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’ meeting notebooks. One point of the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analysis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is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to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evaluate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the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debt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offering’s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impact on the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company’s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cost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of capital. To do </w:t>
      </w:r>
      <w:proofErr w:type="spellStart"/>
      <w:proofErr w:type="gramStart"/>
      <w:r w:rsidRPr="73AA2B94">
        <w:rPr>
          <w:rFonts w:ascii="Calibri" w:eastAsia="Calibri" w:hAnsi="Calibri" w:cs="Calibri"/>
          <w:color w:val="555555"/>
          <w:sz w:val="24"/>
          <w:szCs w:val="24"/>
        </w:rPr>
        <w:t>this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>:</w:t>
      </w:r>
      <w:proofErr w:type="gramEnd"/>
    </w:p>
    <w:p w14:paraId="4B2B6F9C" w14:textId="3A29D72F" w:rsidR="003D37B6" w:rsidRDefault="73AA2B94" w:rsidP="00175410">
      <w:pPr>
        <w:pStyle w:val="ListParagraph"/>
        <w:numPr>
          <w:ilvl w:val="0"/>
          <w:numId w:val="1"/>
        </w:numPr>
        <w:spacing w:line="300" w:lineRule="exact"/>
        <w:jc w:val="both"/>
        <w:rPr>
          <w:rFonts w:eastAsiaTheme="minorEastAsia"/>
          <w:color w:val="555555"/>
          <w:sz w:val="24"/>
          <w:szCs w:val="24"/>
        </w:rPr>
      </w:pP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Solve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for the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current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cost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of capital of CBPG on a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weighted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average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basis</w:t>
      </w:r>
    </w:p>
    <w:p w14:paraId="64B205C0" w14:textId="35A25695" w:rsidR="003D37B6" w:rsidRDefault="73AA2B94" w:rsidP="00175410">
      <w:pPr>
        <w:pStyle w:val="ListParagraph"/>
        <w:numPr>
          <w:ilvl w:val="0"/>
          <w:numId w:val="1"/>
        </w:numPr>
        <w:spacing w:line="300" w:lineRule="exact"/>
        <w:jc w:val="both"/>
        <w:rPr>
          <w:rFonts w:eastAsiaTheme="minorEastAsia"/>
          <w:color w:val="555555"/>
          <w:sz w:val="24"/>
          <w:szCs w:val="24"/>
        </w:rPr>
      </w:pPr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Solve for the new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cost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of capital,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assuming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the $10 </w:t>
      </w:r>
      <w:r w:rsidR="009C7B02" w:rsidRPr="73AA2B94">
        <w:rPr>
          <w:rFonts w:ascii="Calibri" w:eastAsia="Calibri" w:hAnsi="Calibri" w:cs="Calibri"/>
          <w:color w:val="555555"/>
          <w:sz w:val="24"/>
          <w:szCs w:val="24"/>
        </w:rPr>
        <w:t>millions</w:t>
      </w:r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bond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issued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at par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with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a 4% coupon.</w:t>
      </w:r>
    </w:p>
    <w:p w14:paraId="62B5A13C" w14:textId="05E4F8DA" w:rsidR="003D37B6" w:rsidRDefault="73AA2B94" w:rsidP="00175410">
      <w:pPr>
        <w:pStyle w:val="ListParagraph"/>
        <w:numPr>
          <w:ilvl w:val="0"/>
          <w:numId w:val="1"/>
        </w:numPr>
        <w:spacing w:line="300" w:lineRule="exact"/>
        <w:jc w:val="both"/>
        <w:rPr>
          <w:rFonts w:eastAsiaTheme="minorEastAsia"/>
          <w:color w:val="555555"/>
          <w:sz w:val="24"/>
          <w:szCs w:val="24"/>
        </w:rPr>
      </w:pP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Describe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how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you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approached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these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calculations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.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Also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discuss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the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tax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shield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advantage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that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debt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capital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provides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, and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briefly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explain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the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cost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of capital and WACC</w:t>
      </w:r>
    </w:p>
    <w:p w14:paraId="402CBEBE" w14:textId="74876CAD" w:rsidR="00175410" w:rsidRPr="00175410" w:rsidRDefault="73AA2B94" w:rsidP="00175410">
      <w:pPr>
        <w:pStyle w:val="ListParagraph"/>
        <w:numPr>
          <w:ilvl w:val="0"/>
          <w:numId w:val="1"/>
        </w:numPr>
        <w:spacing w:line="300" w:lineRule="exact"/>
        <w:jc w:val="both"/>
        <w:rPr>
          <w:rFonts w:ascii="Calibri" w:eastAsia="Calibri" w:hAnsi="Calibri" w:cs="Calibri"/>
          <w:color w:val="555555"/>
          <w:sz w:val="24"/>
          <w:szCs w:val="24"/>
        </w:rPr>
      </w:pPr>
      <w:proofErr w:type="spellStart"/>
      <w:r w:rsidRPr="00175410">
        <w:rPr>
          <w:rFonts w:ascii="Calibri" w:eastAsia="Calibri" w:hAnsi="Calibri" w:cs="Calibri"/>
          <w:color w:val="555555"/>
          <w:sz w:val="24"/>
          <w:szCs w:val="24"/>
        </w:rPr>
        <w:t>Provide</w:t>
      </w:r>
      <w:proofErr w:type="spellEnd"/>
      <w:r w:rsidRPr="00175410">
        <w:rPr>
          <w:rFonts w:ascii="Calibri" w:eastAsia="Calibri" w:hAnsi="Calibri" w:cs="Calibri"/>
          <w:color w:val="555555"/>
          <w:sz w:val="24"/>
          <w:szCs w:val="24"/>
        </w:rPr>
        <w:t xml:space="preserve"> a Table(s) to </w:t>
      </w:r>
      <w:proofErr w:type="spellStart"/>
      <w:r w:rsidRPr="00175410">
        <w:rPr>
          <w:rFonts w:ascii="Calibri" w:eastAsia="Calibri" w:hAnsi="Calibri" w:cs="Calibri"/>
          <w:color w:val="555555"/>
          <w:sz w:val="24"/>
          <w:szCs w:val="24"/>
        </w:rPr>
        <w:t>present</w:t>
      </w:r>
      <w:proofErr w:type="spellEnd"/>
      <w:r w:rsidRPr="00175410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00175410">
        <w:rPr>
          <w:rFonts w:ascii="Calibri" w:eastAsia="Calibri" w:hAnsi="Calibri" w:cs="Calibri"/>
          <w:color w:val="555555"/>
          <w:sz w:val="24"/>
          <w:szCs w:val="24"/>
        </w:rPr>
        <w:t>answers</w:t>
      </w:r>
      <w:proofErr w:type="spellEnd"/>
      <w:r w:rsidRPr="00175410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</w:p>
    <w:p w14:paraId="26AFEA54" w14:textId="3ED30327" w:rsidR="003D37B6" w:rsidRPr="00175410" w:rsidRDefault="73AA2B94" w:rsidP="00175410">
      <w:pPr>
        <w:spacing w:line="300" w:lineRule="exact"/>
        <w:jc w:val="both"/>
        <w:rPr>
          <w:rFonts w:ascii="Calibri" w:eastAsia="Calibri" w:hAnsi="Calibri" w:cs="Calibri"/>
          <w:color w:val="555555"/>
          <w:sz w:val="24"/>
          <w:szCs w:val="24"/>
        </w:rPr>
      </w:pPr>
      <w:proofErr w:type="spellStart"/>
      <w:r w:rsidRPr="00175410">
        <w:rPr>
          <w:rFonts w:ascii="Calibri" w:eastAsia="Calibri" w:hAnsi="Calibri" w:cs="Calibri"/>
          <w:color w:val="555555"/>
          <w:sz w:val="24"/>
          <w:szCs w:val="24"/>
        </w:rPr>
        <w:t>Summarize</w:t>
      </w:r>
      <w:proofErr w:type="spellEnd"/>
      <w:r w:rsidRPr="00175410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00175410">
        <w:rPr>
          <w:rFonts w:ascii="Calibri" w:eastAsia="Calibri" w:hAnsi="Calibri" w:cs="Calibri"/>
          <w:color w:val="555555"/>
          <w:sz w:val="24"/>
          <w:szCs w:val="24"/>
        </w:rPr>
        <w:t>findings</w:t>
      </w:r>
      <w:proofErr w:type="spellEnd"/>
    </w:p>
    <w:p w14:paraId="2FCE7D0B" w14:textId="0A146D52" w:rsidR="003D37B6" w:rsidRDefault="73AA2B94" w:rsidP="00175410">
      <w:pPr>
        <w:jc w:val="both"/>
        <w:rPr>
          <w:rFonts w:ascii="Calibri" w:eastAsia="Calibri" w:hAnsi="Calibri" w:cs="Calibri"/>
          <w:color w:val="555555"/>
          <w:sz w:val="24"/>
          <w:szCs w:val="24"/>
        </w:rPr>
      </w:pPr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Superior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papers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will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explain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the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following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elements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when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responding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to the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assignment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r w:rsidR="00476045" w:rsidRPr="73AA2B94">
        <w:rPr>
          <w:rFonts w:ascii="Calibri" w:eastAsia="Calibri" w:hAnsi="Calibri" w:cs="Calibri"/>
          <w:color w:val="555555"/>
          <w:sz w:val="24"/>
          <w:szCs w:val="24"/>
        </w:rPr>
        <w:t>questions :</w:t>
      </w:r>
    </w:p>
    <w:p w14:paraId="00AB20EC" w14:textId="5F123C7A" w:rsidR="003D37B6" w:rsidRDefault="73AA2B94" w:rsidP="00175410">
      <w:pPr>
        <w:pStyle w:val="ListParagraph"/>
        <w:numPr>
          <w:ilvl w:val="0"/>
          <w:numId w:val="1"/>
        </w:numPr>
        <w:spacing w:line="300" w:lineRule="exact"/>
        <w:jc w:val="both"/>
        <w:rPr>
          <w:rFonts w:eastAsiaTheme="minorEastAsia"/>
          <w:color w:val="555555"/>
          <w:sz w:val="24"/>
          <w:szCs w:val="24"/>
        </w:rPr>
      </w:pP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Provide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narrative and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solve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for the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current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cost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of capital of CBPG on a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weighted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average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basis (WACC)</w:t>
      </w:r>
    </w:p>
    <w:p w14:paraId="5A3C41A0" w14:textId="7400E201" w:rsidR="003D37B6" w:rsidRDefault="73AA2B94" w:rsidP="00175410">
      <w:pPr>
        <w:pStyle w:val="ListParagraph"/>
        <w:numPr>
          <w:ilvl w:val="0"/>
          <w:numId w:val="1"/>
        </w:numPr>
        <w:spacing w:line="300" w:lineRule="exact"/>
        <w:jc w:val="both"/>
        <w:rPr>
          <w:rFonts w:eastAsiaTheme="minorEastAsia"/>
          <w:color w:val="555555"/>
          <w:sz w:val="24"/>
          <w:szCs w:val="24"/>
        </w:rPr>
      </w:pP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Provide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narrative and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solve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for the new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cost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of capital (WACC)</w:t>
      </w:r>
    </w:p>
    <w:p w14:paraId="07D19D37" w14:textId="00621AFC" w:rsidR="003D37B6" w:rsidRDefault="73AA2B94" w:rsidP="00175410">
      <w:pPr>
        <w:pStyle w:val="ListParagraph"/>
        <w:numPr>
          <w:ilvl w:val="0"/>
          <w:numId w:val="1"/>
        </w:numPr>
        <w:spacing w:line="300" w:lineRule="exact"/>
        <w:jc w:val="both"/>
        <w:rPr>
          <w:rFonts w:eastAsiaTheme="minorEastAsia"/>
          <w:color w:val="555555"/>
          <w:sz w:val="24"/>
          <w:szCs w:val="24"/>
        </w:rPr>
      </w:pP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Provide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accurate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WACC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calculations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for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both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scenarios</w:t>
      </w:r>
    </w:p>
    <w:p w14:paraId="23996C58" w14:textId="40614F51" w:rsidR="003D37B6" w:rsidRDefault="73AA2B94" w:rsidP="00175410">
      <w:pPr>
        <w:pStyle w:val="ListParagraph"/>
        <w:numPr>
          <w:ilvl w:val="0"/>
          <w:numId w:val="1"/>
        </w:numPr>
        <w:spacing w:line="300" w:lineRule="exact"/>
        <w:jc w:val="both"/>
        <w:rPr>
          <w:rFonts w:eastAsiaTheme="minorEastAsia"/>
          <w:color w:val="555555"/>
          <w:sz w:val="24"/>
          <w:szCs w:val="24"/>
        </w:rPr>
      </w:pP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Provide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a Table(s) to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present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answers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(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there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is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a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difference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between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performing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calculations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and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presenting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the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supporting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data and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solved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answers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>)</w:t>
      </w:r>
    </w:p>
    <w:p w14:paraId="4C73BE7C" w14:textId="3573DA7A" w:rsidR="003D37B6" w:rsidRDefault="73AA2B94" w:rsidP="00175410">
      <w:pPr>
        <w:pStyle w:val="ListParagraph"/>
        <w:numPr>
          <w:ilvl w:val="0"/>
          <w:numId w:val="1"/>
        </w:numPr>
        <w:spacing w:line="300" w:lineRule="exact"/>
        <w:jc w:val="both"/>
        <w:rPr>
          <w:rFonts w:eastAsiaTheme="minorEastAsia"/>
          <w:color w:val="555555"/>
          <w:sz w:val="24"/>
          <w:szCs w:val="24"/>
        </w:rPr>
      </w:pP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Provide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narrative on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tax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shield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implications for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both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scenarios</w:t>
      </w:r>
    </w:p>
    <w:p w14:paraId="22820C30" w14:textId="74427579" w:rsidR="003D37B6" w:rsidRDefault="73AA2B94" w:rsidP="00175410">
      <w:pPr>
        <w:pStyle w:val="ListParagraph"/>
        <w:numPr>
          <w:ilvl w:val="0"/>
          <w:numId w:val="1"/>
        </w:numPr>
        <w:spacing w:line="300" w:lineRule="exact"/>
        <w:jc w:val="both"/>
        <w:rPr>
          <w:rFonts w:eastAsiaTheme="minorEastAsia"/>
          <w:color w:val="555555"/>
          <w:sz w:val="24"/>
          <w:szCs w:val="24"/>
        </w:rPr>
      </w:pP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Provide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narrative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briefly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explaining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the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cost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of capital and WACC</w:t>
      </w:r>
    </w:p>
    <w:p w14:paraId="751667D0" w14:textId="12510017" w:rsidR="003D37B6" w:rsidRDefault="73AA2B94" w:rsidP="00175410">
      <w:pPr>
        <w:pStyle w:val="ListParagraph"/>
        <w:numPr>
          <w:ilvl w:val="0"/>
          <w:numId w:val="1"/>
        </w:numPr>
        <w:spacing w:line="300" w:lineRule="exact"/>
        <w:jc w:val="both"/>
        <w:rPr>
          <w:rFonts w:eastAsiaTheme="minorEastAsia"/>
          <w:color w:val="555555"/>
          <w:sz w:val="24"/>
          <w:szCs w:val="24"/>
        </w:rPr>
      </w:pP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Provide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a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clear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, </w:t>
      </w:r>
      <w:proofErr w:type="spellStart"/>
      <w:r w:rsidRPr="73AA2B94">
        <w:rPr>
          <w:rFonts w:ascii="Calibri" w:eastAsia="Calibri" w:hAnsi="Calibri" w:cs="Calibri"/>
          <w:color w:val="555555"/>
          <w:sz w:val="24"/>
          <w:szCs w:val="24"/>
        </w:rPr>
        <w:t>logical</w:t>
      </w:r>
      <w:proofErr w:type="spellEnd"/>
      <w:r w:rsidRPr="73AA2B94">
        <w:rPr>
          <w:rFonts w:ascii="Calibri" w:eastAsia="Calibri" w:hAnsi="Calibri" w:cs="Calibri"/>
          <w:color w:val="555555"/>
          <w:sz w:val="24"/>
          <w:szCs w:val="24"/>
        </w:rPr>
        <w:t xml:space="preserve"> conclusion</w:t>
      </w:r>
    </w:p>
    <w:p w14:paraId="3BFEFB25" w14:textId="2F45FDF2" w:rsidR="003D37B6" w:rsidRDefault="003D37B6" w:rsidP="00175410">
      <w:pPr>
        <w:jc w:val="both"/>
        <w:rPr>
          <w:sz w:val="24"/>
          <w:szCs w:val="24"/>
        </w:rPr>
      </w:pPr>
    </w:p>
    <w:sectPr w:rsidR="003D37B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A6A83"/>
    <w:multiLevelType w:val="hybridMultilevel"/>
    <w:tmpl w:val="C8D89FCE"/>
    <w:lvl w:ilvl="0" w:tplc="0F7203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8A56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6C01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CE80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94B5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FE62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387D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561D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3668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CD98AB6"/>
    <w:rsid w:val="00175410"/>
    <w:rsid w:val="002E73EE"/>
    <w:rsid w:val="003D37B6"/>
    <w:rsid w:val="00476045"/>
    <w:rsid w:val="009C7B02"/>
    <w:rsid w:val="4CD98AB6"/>
    <w:rsid w:val="73AA2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98AB6"/>
  <w15:chartTrackingRefBased/>
  <w15:docId w15:val="{197C08DA-1CD6-4CB3-B344-96F4C057C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332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Nicxon Digacin</dc:creator>
  <cp:keywords/>
  <dc:description/>
  <cp:lastModifiedBy>Nicxon Digacin</cp:lastModifiedBy>
  <cp:revision>5</cp:revision>
  <dcterms:created xsi:type="dcterms:W3CDTF">2020-08-01T18:34:00Z</dcterms:created>
  <dcterms:modified xsi:type="dcterms:W3CDTF">2020-08-04T16:18:00Z</dcterms:modified>
</cp:coreProperties>
</file>